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XSpec="center" w:tblpY="-825"/>
        <w:tblW w:w="11619" w:type="dxa"/>
        <w:tblInd w:w="0" w:type="dxa"/>
        <w:tblLook w:val="04A0" w:firstRow="1" w:lastRow="0" w:firstColumn="1" w:lastColumn="0" w:noHBand="0" w:noVBand="1"/>
      </w:tblPr>
      <w:tblGrid>
        <w:gridCol w:w="11619"/>
      </w:tblGrid>
      <w:tr w:rsidR="00D42C3E" w:rsidTr="00004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hideMark/>
          </w:tcPr>
          <w:p w:rsidR="00D42C3E" w:rsidRDefault="00675CE4" w:rsidP="007974A1">
            <w:pPr>
              <w:spacing w:line="240" w:lineRule="auto"/>
            </w:pPr>
            <w:r>
              <w:t>UP Internally Funded Calls | Staff Travel P</w:t>
            </w:r>
            <w:r w:rsidR="00004966">
              <w:t>rogramme</w:t>
            </w:r>
          </w:p>
        </w:tc>
      </w:tr>
      <w:tr w:rsidR="0099178D"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Pr>
          <w:p w:rsidR="0099178D" w:rsidRDefault="00583ADC" w:rsidP="007974A1">
            <w:pPr>
              <w:spacing w:line="240" w:lineRule="auto"/>
            </w:pPr>
            <w:r>
              <w:t>SUSTAINABLE DEVELOPMENT GOALS (SDG) focus area(s)</w:t>
            </w:r>
          </w:p>
        </w:tc>
      </w:tr>
      <w:tr w:rsidR="0099178D" w:rsidTr="00004966">
        <w:tc>
          <w:tcPr>
            <w:cnfStyle w:val="001000000000" w:firstRow="0" w:lastRow="0" w:firstColumn="1" w:lastColumn="0" w:oddVBand="0" w:evenVBand="0" w:oddHBand="0" w:evenHBand="0" w:firstRowFirstColumn="0" w:firstRowLastColumn="0" w:lastRowFirstColumn="0" w:lastRowLastColumn="0"/>
            <w:tcW w:w="11619" w:type="dxa"/>
          </w:tcPr>
          <w:p w:rsidR="00675CE4" w:rsidRDefault="00675CE4" w:rsidP="00D72463">
            <w:pPr>
              <w:spacing w:line="240" w:lineRule="auto"/>
            </w:pPr>
          </w:p>
          <w:p w:rsidR="00AF7313" w:rsidRDefault="00AF7313" w:rsidP="00D72463">
            <w:pPr>
              <w:spacing w:line="240" w:lineRule="auto"/>
            </w:pPr>
            <w:r w:rsidRPr="00AF7313">
              <w:rPr>
                <w:noProof/>
                <w:lang w:val="en-US"/>
              </w:rPr>
              <w:drawing>
                <wp:inline distT="0" distB="0" distL="0" distR="0">
                  <wp:extent cx="896400" cy="896400"/>
                  <wp:effectExtent l="0" t="0" r="0" b="0"/>
                  <wp:docPr id="8" name="Picture 8" descr="G:\Team Drives\Faculty Research Office\FHS Funding Opportunities\SDGs\E_SDG goals_icons-individual-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eam Drives\Faculty Research Office\FHS Funding Opportunities\SDGs\E_SDG goals_icons-individual-rgb-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r w:rsidRPr="00AF7313">
              <w:rPr>
                <w:noProof/>
                <w:lang w:val="en-US"/>
              </w:rPr>
              <w:drawing>
                <wp:inline distT="0" distB="0" distL="0" distR="0">
                  <wp:extent cx="896400" cy="896400"/>
                  <wp:effectExtent l="0" t="0" r="0" b="0"/>
                  <wp:docPr id="13" name="Picture 13" descr="G:\Team Drives\Faculty Research Office\FHS Funding Opportunities\SDGs\E_SDG goals_icons-individual-rgb-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eam Drives\Faculty Research Office\FHS Funding Opportunities\SDGs\E_SDG goals_icons-individual-rgb-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p w:rsidR="00675CE4" w:rsidRDefault="00675CE4" w:rsidP="00D72463">
            <w:pPr>
              <w:spacing w:line="240" w:lineRule="auto"/>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 xml:space="preserve">APPLICATION DEADLINE </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75077B" w:rsidRPr="0075077B" w:rsidRDefault="0075077B" w:rsidP="0075077B">
            <w:pPr>
              <w:jc w:val="both"/>
              <w:rPr>
                <w:color w:val="FF0000"/>
              </w:rPr>
            </w:pPr>
            <w:r w:rsidRPr="0075077B">
              <w:rPr>
                <w:color w:val="FF0000"/>
              </w:rPr>
              <w:t>Internal closing date</w:t>
            </w:r>
          </w:p>
          <w:p w:rsidR="0075077B" w:rsidRPr="00805901" w:rsidRDefault="0075077B" w:rsidP="0075077B">
            <w:pPr>
              <w:jc w:val="both"/>
              <w:rPr>
                <w:color w:val="FF0000"/>
              </w:rPr>
            </w:pPr>
            <w:r w:rsidRPr="00805901">
              <w:t xml:space="preserve">Round 1: </w:t>
            </w:r>
            <w:r>
              <w:rPr>
                <w:color w:val="FF0000"/>
              </w:rPr>
              <w:t>21 February 2020</w:t>
            </w:r>
          </w:p>
          <w:p w:rsidR="0075077B" w:rsidRPr="00805901" w:rsidRDefault="0075077B" w:rsidP="0075077B">
            <w:pPr>
              <w:jc w:val="both"/>
              <w:rPr>
                <w:color w:val="FF0000"/>
              </w:rPr>
            </w:pPr>
            <w:r w:rsidRPr="00805901">
              <w:t xml:space="preserve">Round 2: </w:t>
            </w:r>
            <w:r>
              <w:rPr>
                <w:color w:val="FF0000"/>
              </w:rPr>
              <w:t>22 May 2020</w:t>
            </w:r>
          </w:p>
          <w:p w:rsidR="00D42C3E" w:rsidRPr="00E94F01" w:rsidRDefault="0075077B" w:rsidP="0075077B">
            <w:pPr>
              <w:spacing w:line="240" w:lineRule="auto"/>
              <w:rPr>
                <w:color w:val="FF0000"/>
              </w:rPr>
            </w:pPr>
            <w:r w:rsidRPr="00805901">
              <w:t xml:space="preserve">Round 3: </w:t>
            </w:r>
            <w:r>
              <w:rPr>
                <w:color w:val="FF0000"/>
              </w:rPr>
              <w:t>21 August 2020</w:t>
            </w: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BACKGROUND</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Pr="004E59D9" w:rsidRDefault="00D42C3E" w:rsidP="007974A1">
            <w:pPr>
              <w:rPr>
                <w:rFonts w:cstheme="minorHAnsi"/>
                <w:b w:val="0"/>
                <w:iCs/>
                <w:szCs w:val="24"/>
              </w:rPr>
            </w:pPr>
          </w:p>
          <w:p w:rsidR="0036248E" w:rsidRPr="00994A4F" w:rsidRDefault="0036248E" w:rsidP="0036248E">
            <w:pPr>
              <w:jc w:val="both"/>
              <w:rPr>
                <w:b w:val="0"/>
              </w:rPr>
            </w:pPr>
            <w:r w:rsidRPr="00994A4F">
              <w:rPr>
                <w:b w:val="0"/>
              </w:rPr>
              <w:t>The University of Pretoria (UP) has entered into a number of collaborations and cooperation agreements with international institutions, in order to promote its own internationalisation programmes. In order to stimulate collaboration, especially under the auspices of these agreements, the University provides limited funding on an annual basis for the exchange of academic staff.</w:t>
            </w:r>
          </w:p>
          <w:p w:rsidR="0036248E" w:rsidRPr="00994A4F" w:rsidRDefault="0036248E" w:rsidP="0036248E">
            <w:pPr>
              <w:jc w:val="both"/>
            </w:pPr>
            <w:r>
              <w:t>Three</w:t>
            </w:r>
            <w:r w:rsidRPr="00994A4F">
              <w:rPr>
                <w:b w:val="0"/>
              </w:rPr>
              <w:t xml:space="preserve"> rounds o</w:t>
            </w:r>
            <w:r>
              <w:t xml:space="preserve">f applications </w:t>
            </w:r>
            <w:proofErr w:type="gramStart"/>
            <w:r>
              <w:t>are considered</w:t>
            </w:r>
            <w:proofErr w:type="gramEnd"/>
            <w:r>
              <w:t> —</w:t>
            </w:r>
            <w:r w:rsidRPr="00994A4F">
              <w:t xml:space="preserve"> in </w:t>
            </w:r>
            <w:r>
              <w:rPr>
                <w:color w:val="FF0000"/>
              </w:rPr>
              <w:t>February, May,</w:t>
            </w:r>
            <w:r w:rsidRPr="00994A4F">
              <w:rPr>
                <w:color w:val="FF0000"/>
              </w:rPr>
              <w:t xml:space="preserve"> </w:t>
            </w:r>
            <w:r w:rsidRPr="00994A4F">
              <w:t xml:space="preserve">and </w:t>
            </w:r>
            <w:r>
              <w:rPr>
                <w:color w:val="FF0000"/>
              </w:rPr>
              <w:t>August</w:t>
            </w:r>
            <w:r w:rsidRPr="00994A4F">
              <w:t>.</w:t>
            </w:r>
          </w:p>
          <w:p w:rsidR="00D42C3E" w:rsidRDefault="00D42C3E" w:rsidP="007974A1">
            <w:pPr>
              <w:spacing w:line="240" w:lineRule="auto"/>
              <w:rPr>
                <w:b w:val="0"/>
              </w:rPr>
            </w:pPr>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ELIGIBILITY CRITERIA</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pacing w:line="240" w:lineRule="auto"/>
              <w:rPr>
                <w:b w:val="0"/>
              </w:rPr>
            </w:pPr>
          </w:p>
          <w:p w:rsidR="0036248E" w:rsidRPr="00AD2FD6" w:rsidRDefault="0036248E" w:rsidP="0036248E">
            <w:pPr>
              <w:pStyle w:val="ListParagraph"/>
              <w:numPr>
                <w:ilvl w:val="0"/>
                <w:numId w:val="5"/>
              </w:numPr>
              <w:spacing w:line="240" w:lineRule="auto"/>
              <w:jc w:val="both"/>
              <w:rPr>
                <w:b w:val="0"/>
              </w:rPr>
            </w:pPr>
            <w:r w:rsidRPr="00AD2FD6">
              <w:rPr>
                <w:b w:val="0"/>
              </w:rPr>
              <w:t xml:space="preserve">Applications for awards </w:t>
            </w:r>
            <w:proofErr w:type="gramStart"/>
            <w:r w:rsidRPr="00AD2FD6">
              <w:rPr>
                <w:b w:val="0"/>
              </w:rPr>
              <w:t>must be completed</w:t>
            </w:r>
            <w:proofErr w:type="gramEnd"/>
            <w:r w:rsidRPr="00AD2FD6">
              <w:rPr>
                <w:b w:val="0"/>
              </w:rPr>
              <w:t xml:space="preserve"> in accordance with the prescribed electronic application form. The designated contact person at the Department of Research and Innovation (DRI) needs to </w:t>
            </w:r>
            <w:proofErr w:type="gramStart"/>
            <w:r w:rsidRPr="00AD2FD6">
              <w:rPr>
                <w:b w:val="0"/>
              </w:rPr>
              <w:t>be contacted</w:t>
            </w:r>
            <w:proofErr w:type="gramEnd"/>
            <w:r w:rsidRPr="00AD2FD6">
              <w:rPr>
                <w:b w:val="0"/>
              </w:rPr>
              <w:t xml:space="preserve"> in order to guide the applicant with the application process.  All sections of the prescribed application form must be completed otherwise the application will not be considered.</w:t>
            </w:r>
          </w:p>
          <w:p w:rsidR="0036248E" w:rsidRPr="00AD2FD6" w:rsidRDefault="0036248E" w:rsidP="0036248E">
            <w:pPr>
              <w:pStyle w:val="ListParagraph"/>
              <w:numPr>
                <w:ilvl w:val="0"/>
                <w:numId w:val="5"/>
              </w:numPr>
              <w:spacing w:line="240" w:lineRule="auto"/>
              <w:jc w:val="both"/>
              <w:rPr>
                <w:b w:val="0"/>
              </w:rPr>
            </w:pPr>
            <w:proofErr w:type="gramStart"/>
            <w:r w:rsidRPr="00AD2FD6">
              <w:rPr>
                <w:b w:val="0"/>
              </w:rPr>
              <w:t>Applications must be supported by the Dean; Faculty Research Committee Chairperson or Deputy Dean</w:t>
            </w:r>
            <w:proofErr w:type="gramEnd"/>
            <w:r w:rsidRPr="00AD2FD6">
              <w:rPr>
                <w:b w:val="0"/>
              </w:rPr>
              <w:t>:  Research and Postgraduate Education and submitted via their off</w:t>
            </w:r>
            <w:r>
              <w:rPr>
                <w:b w:val="0"/>
              </w:rPr>
              <w:t>ice to DRI.</w:t>
            </w:r>
            <w:r w:rsidRPr="00AD2FD6">
              <w:rPr>
                <w:b w:val="0"/>
              </w:rPr>
              <w:t xml:space="preserve">  </w:t>
            </w:r>
          </w:p>
          <w:p w:rsidR="0036248E" w:rsidRPr="00AD2FD6" w:rsidRDefault="0036248E" w:rsidP="0036248E">
            <w:pPr>
              <w:pStyle w:val="ListParagraph"/>
              <w:numPr>
                <w:ilvl w:val="0"/>
                <w:numId w:val="5"/>
              </w:numPr>
              <w:spacing w:line="240" w:lineRule="auto"/>
              <w:jc w:val="both"/>
              <w:rPr>
                <w:b w:val="0"/>
              </w:rPr>
            </w:pPr>
            <w:r w:rsidRPr="00AD2FD6">
              <w:rPr>
                <w:b w:val="0"/>
              </w:rPr>
              <w:t xml:space="preserve">Deadlines </w:t>
            </w:r>
            <w:proofErr w:type="gramStart"/>
            <w:r w:rsidRPr="00AD2FD6">
              <w:rPr>
                <w:b w:val="0"/>
              </w:rPr>
              <w:t>must be strictly adhered to as no late applications will be considered</w:t>
            </w:r>
            <w:proofErr w:type="gramEnd"/>
            <w:r w:rsidRPr="00AD2FD6">
              <w:rPr>
                <w:b w:val="0"/>
              </w:rPr>
              <w:t>.</w:t>
            </w:r>
          </w:p>
          <w:p w:rsidR="0036248E" w:rsidRPr="00AD2FD6" w:rsidRDefault="0036248E" w:rsidP="0036248E">
            <w:pPr>
              <w:pStyle w:val="ListParagraph"/>
              <w:numPr>
                <w:ilvl w:val="0"/>
                <w:numId w:val="5"/>
              </w:numPr>
              <w:spacing w:line="240" w:lineRule="auto"/>
              <w:jc w:val="both"/>
              <w:rPr>
                <w:b w:val="0"/>
              </w:rPr>
            </w:pPr>
            <w:r w:rsidRPr="00AD2FD6">
              <w:rPr>
                <w:b w:val="0"/>
              </w:rPr>
              <w:t xml:space="preserve">Only ad-hoc applications with a strong motivation to be reviewed ad-hoc </w:t>
            </w:r>
            <w:proofErr w:type="gramStart"/>
            <w:r w:rsidRPr="00AD2FD6">
              <w:rPr>
                <w:b w:val="0"/>
              </w:rPr>
              <w:t>will be considered and reviewed</w:t>
            </w:r>
            <w:proofErr w:type="gramEnd"/>
            <w:r w:rsidRPr="00AD2FD6">
              <w:rPr>
                <w:b w:val="0"/>
              </w:rPr>
              <w:t xml:space="preserve">.  </w:t>
            </w:r>
          </w:p>
          <w:p w:rsidR="0036248E" w:rsidRPr="00AD2FD6" w:rsidRDefault="0036248E" w:rsidP="0036248E">
            <w:pPr>
              <w:pStyle w:val="ListParagraph"/>
              <w:numPr>
                <w:ilvl w:val="0"/>
                <w:numId w:val="5"/>
              </w:numPr>
              <w:spacing w:line="240" w:lineRule="auto"/>
              <w:jc w:val="both"/>
              <w:rPr>
                <w:b w:val="0"/>
              </w:rPr>
            </w:pPr>
            <w:r w:rsidRPr="00AD2FD6">
              <w:rPr>
                <w:b w:val="0"/>
              </w:rPr>
              <w:t>Full-time/permanent academic staff members who would like to conduct research in collaboration with, and/or undertake special training at an international institution and where the travel will enhance UP’s research profile, may apply.</w:t>
            </w:r>
          </w:p>
          <w:p w:rsidR="0036248E" w:rsidRPr="00AD2FD6" w:rsidRDefault="0036248E" w:rsidP="0036248E">
            <w:pPr>
              <w:pStyle w:val="ListParagraph"/>
              <w:numPr>
                <w:ilvl w:val="0"/>
                <w:numId w:val="5"/>
              </w:numPr>
              <w:spacing w:line="240" w:lineRule="auto"/>
              <w:jc w:val="both"/>
              <w:rPr>
                <w:b w:val="0"/>
              </w:rPr>
            </w:pPr>
            <w:r w:rsidRPr="00AD2FD6">
              <w:rPr>
                <w:b w:val="0"/>
              </w:rPr>
              <w:t xml:space="preserve">Full-time staff members of an international institution, particularly those with which the University has a cooperation agreement, who would like to conduct collaborative research at UP, may apply. The application is submitted to the Committee by the Programme/Project leader at UP.  </w:t>
            </w:r>
          </w:p>
          <w:p w:rsidR="0036248E" w:rsidRPr="00AD2FD6" w:rsidRDefault="0036248E" w:rsidP="0036248E">
            <w:pPr>
              <w:pStyle w:val="ListParagraph"/>
              <w:numPr>
                <w:ilvl w:val="0"/>
                <w:numId w:val="5"/>
              </w:numPr>
              <w:spacing w:line="240" w:lineRule="auto"/>
              <w:jc w:val="both"/>
              <w:rPr>
                <w:b w:val="0"/>
              </w:rPr>
            </w:pPr>
            <w:r w:rsidRPr="00AD2FD6">
              <w:rPr>
                <w:b w:val="0"/>
              </w:rPr>
              <w:t xml:space="preserve">An </w:t>
            </w:r>
            <w:proofErr w:type="gramStart"/>
            <w:r w:rsidRPr="00AD2FD6">
              <w:rPr>
                <w:b w:val="0"/>
              </w:rPr>
              <w:t>application which</w:t>
            </w:r>
            <w:proofErr w:type="gramEnd"/>
            <w:r w:rsidRPr="00AD2FD6">
              <w:rPr>
                <w:b w:val="0"/>
              </w:rPr>
              <w:t xml:space="preserve"> has been submitted after the applicant has already left abroad, will not be considered as applications cannot be approved retrospectively.  </w:t>
            </w:r>
          </w:p>
          <w:p w:rsidR="0036248E" w:rsidRPr="00AD2FD6" w:rsidRDefault="0036248E" w:rsidP="0036248E">
            <w:pPr>
              <w:pStyle w:val="ListParagraph"/>
              <w:numPr>
                <w:ilvl w:val="0"/>
                <w:numId w:val="5"/>
              </w:numPr>
              <w:spacing w:line="240" w:lineRule="auto"/>
              <w:jc w:val="both"/>
              <w:rPr>
                <w:b w:val="0"/>
              </w:rPr>
            </w:pPr>
            <w:r w:rsidRPr="00AD2FD6">
              <w:rPr>
                <w:b w:val="0"/>
              </w:rPr>
              <w:t xml:space="preserve">The applicant should be part of a programme of research and/or training that </w:t>
            </w:r>
            <w:proofErr w:type="gramStart"/>
            <w:r w:rsidRPr="00AD2FD6">
              <w:rPr>
                <w:b w:val="0"/>
              </w:rPr>
              <w:t>will be enhanced</w:t>
            </w:r>
            <w:proofErr w:type="gramEnd"/>
            <w:r w:rsidRPr="00AD2FD6">
              <w:rPr>
                <w:b w:val="0"/>
              </w:rPr>
              <w:t xml:space="preserve"> by the Staff travel abroad.  Ad hoc exchanges will not receive support, unless a particularly strong motivation </w:t>
            </w:r>
            <w:proofErr w:type="gramStart"/>
            <w:r w:rsidRPr="00AD2FD6">
              <w:rPr>
                <w:b w:val="0"/>
              </w:rPr>
              <w:t>is provided</w:t>
            </w:r>
            <w:proofErr w:type="gramEnd"/>
            <w:r w:rsidRPr="00AD2FD6">
              <w:rPr>
                <w:b w:val="0"/>
              </w:rPr>
              <w:t>.</w:t>
            </w:r>
          </w:p>
          <w:p w:rsidR="0036248E" w:rsidRPr="00AD2FD6" w:rsidRDefault="0036248E" w:rsidP="0036248E">
            <w:pPr>
              <w:pStyle w:val="ListParagraph"/>
              <w:numPr>
                <w:ilvl w:val="0"/>
                <w:numId w:val="5"/>
              </w:numPr>
              <w:spacing w:line="240" w:lineRule="auto"/>
              <w:jc w:val="both"/>
              <w:rPr>
                <w:b w:val="0"/>
              </w:rPr>
            </w:pPr>
            <w:r w:rsidRPr="00AD2FD6">
              <w:rPr>
                <w:b w:val="0"/>
              </w:rPr>
              <w:t xml:space="preserve">The applicant must be a proven researcher and/or have achieved success in other academic fields, or be a  young staff member, at the start of their academic careers, or be from under-represented groups at the University.  The exchange </w:t>
            </w:r>
            <w:proofErr w:type="gramStart"/>
            <w:r w:rsidRPr="00AD2FD6">
              <w:rPr>
                <w:b w:val="0"/>
              </w:rPr>
              <w:t>can be used</w:t>
            </w:r>
            <w:proofErr w:type="gramEnd"/>
            <w:r w:rsidRPr="00AD2FD6">
              <w:rPr>
                <w:b w:val="0"/>
              </w:rPr>
              <w:t xml:space="preserve"> as a development opportunity, within the framework of a research programme.</w:t>
            </w:r>
          </w:p>
          <w:p w:rsidR="0036248E" w:rsidRPr="00AD2FD6" w:rsidRDefault="0036248E" w:rsidP="0036248E">
            <w:pPr>
              <w:pStyle w:val="ListParagraph"/>
              <w:numPr>
                <w:ilvl w:val="0"/>
                <w:numId w:val="5"/>
              </w:numPr>
              <w:spacing w:line="240" w:lineRule="auto"/>
              <w:jc w:val="both"/>
              <w:rPr>
                <w:b w:val="0"/>
              </w:rPr>
            </w:pPr>
            <w:r w:rsidRPr="00AD2FD6">
              <w:rPr>
                <w:b w:val="0"/>
              </w:rPr>
              <w:t xml:space="preserve">Funds </w:t>
            </w:r>
            <w:proofErr w:type="gramStart"/>
            <w:r w:rsidRPr="00AD2FD6">
              <w:rPr>
                <w:b w:val="0"/>
              </w:rPr>
              <w:t>will not normally be granted</w:t>
            </w:r>
            <w:proofErr w:type="gramEnd"/>
            <w:r w:rsidRPr="00AD2FD6">
              <w:rPr>
                <w:b w:val="0"/>
              </w:rPr>
              <w:t xml:space="preserve"> only to attend conferences.  Exceptions </w:t>
            </w:r>
            <w:proofErr w:type="gramStart"/>
            <w:r w:rsidRPr="00AD2FD6">
              <w:rPr>
                <w:b w:val="0"/>
              </w:rPr>
              <w:t>will be considered</w:t>
            </w:r>
            <w:proofErr w:type="gramEnd"/>
            <w:r w:rsidRPr="00AD2FD6">
              <w:rPr>
                <w:b w:val="0"/>
              </w:rPr>
              <w:t xml:space="preserve"> for developing researchers.</w:t>
            </w:r>
          </w:p>
          <w:p w:rsidR="0036248E" w:rsidRPr="00AD2FD6" w:rsidRDefault="0036248E" w:rsidP="0036248E">
            <w:pPr>
              <w:pStyle w:val="ListParagraph"/>
              <w:numPr>
                <w:ilvl w:val="0"/>
                <w:numId w:val="5"/>
              </w:numPr>
              <w:spacing w:line="240" w:lineRule="auto"/>
              <w:jc w:val="both"/>
            </w:pPr>
            <w:r w:rsidRPr="00AD2FD6">
              <w:rPr>
                <w:b w:val="0"/>
              </w:rPr>
              <w:t>Bursaries are allocated to individual staff members once only for a particular programme or research project.  Staff members cannot reapply in the subsequent year, or apply to go to another institution in the subsequent year.</w:t>
            </w:r>
          </w:p>
          <w:p w:rsidR="00D42C3E" w:rsidRDefault="00D42C3E" w:rsidP="007974A1">
            <w:pPr>
              <w:spacing w:line="240" w:lineRule="auto"/>
            </w:pPr>
          </w:p>
          <w:p w:rsidR="00675CE4" w:rsidRDefault="00675CE4" w:rsidP="007974A1">
            <w:pPr>
              <w:spacing w:line="240" w:lineRule="auto"/>
            </w:pPr>
          </w:p>
          <w:p w:rsidR="00675CE4" w:rsidRDefault="00675CE4" w:rsidP="007974A1">
            <w:pPr>
              <w:spacing w:line="240" w:lineRule="auto"/>
            </w:pPr>
            <w:bookmarkStart w:id="0" w:name="_GoBack"/>
            <w:bookmarkEnd w:id="0"/>
          </w:p>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lastRenderedPageBreak/>
              <w:t>HOW TO APPLY</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42C3E" w:rsidRDefault="00D42C3E" w:rsidP="007974A1">
            <w:pPr>
              <w:shd w:val="clear" w:color="auto" w:fill="FFFFFF"/>
              <w:spacing w:line="240" w:lineRule="auto"/>
              <w:rPr>
                <w:rFonts w:eastAsia="Times New Roman" w:cstheme="minorHAnsi"/>
                <w:b w:val="0"/>
                <w:bCs w:val="0"/>
                <w:color w:val="222222"/>
                <w:lang w:eastAsia="en-ZA"/>
              </w:rPr>
            </w:pPr>
          </w:p>
          <w:p w:rsidR="0036248E" w:rsidRDefault="0036248E" w:rsidP="0036248E">
            <w:pPr>
              <w:jc w:val="both"/>
              <w:rPr>
                <w:b w:val="0"/>
              </w:rPr>
            </w:pPr>
            <w:r w:rsidRPr="009A7555">
              <w:rPr>
                <w:b w:val="0"/>
              </w:rPr>
              <w:t>Please be advised that DRI has launched an online application process for UP Internal Funding Programmes</w:t>
            </w:r>
            <w:r>
              <w:rPr>
                <w:b w:val="0"/>
              </w:rPr>
              <w:t>. Attached are instructions pertaining to the application process.</w:t>
            </w:r>
          </w:p>
          <w:p w:rsidR="00D42C3E" w:rsidRDefault="00D42C3E" w:rsidP="00230C10"/>
        </w:tc>
      </w:tr>
      <w:tr w:rsidR="00D42C3E"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D42C3E" w:rsidRDefault="00D42C3E" w:rsidP="007974A1">
            <w:pPr>
              <w:spacing w:line="240" w:lineRule="auto"/>
            </w:pPr>
            <w:r>
              <w:t>APPLICATION DEADLINES:</w:t>
            </w:r>
          </w:p>
        </w:tc>
      </w:tr>
      <w:tr w:rsidR="00D42C3E"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75077B" w:rsidRPr="0075077B" w:rsidRDefault="0075077B" w:rsidP="0036248E">
            <w:pPr>
              <w:jc w:val="both"/>
              <w:rPr>
                <w:color w:val="FF0000"/>
              </w:rPr>
            </w:pPr>
            <w:r w:rsidRPr="0075077B">
              <w:rPr>
                <w:color w:val="FF0000"/>
              </w:rPr>
              <w:t>Internal closing date</w:t>
            </w:r>
          </w:p>
          <w:p w:rsidR="0036248E" w:rsidRPr="00805901" w:rsidRDefault="0036248E" w:rsidP="0036248E">
            <w:pPr>
              <w:jc w:val="both"/>
              <w:rPr>
                <w:color w:val="FF0000"/>
              </w:rPr>
            </w:pPr>
            <w:r w:rsidRPr="00805901">
              <w:t xml:space="preserve">Round 1: </w:t>
            </w:r>
            <w:r w:rsidR="0075077B">
              <w:rPr>
                <w:color w:val="FF0000"/>
              </w:rPr>
              <w:t>21</w:t>
            </w:r>
            <w:r>
              <w:rPr>
                <w:color w:val="FF0000"/>
              </w:rPr>
              <w:t xml:space="preserve"> February 2020</w:t>
            </w:r>
          </w:p>
          <w:p w:rsidR="0036248E" w:rsidRPr="00805901" w:rsidRDefault="0036248E" w:rsidP="0036248E">
            <w:pPr>
              <w:jc w:val="both"/>
              <w:rPr>
                <w:color w:val="FF0000"/>
              </w:rPr>
            </w:pPr>
            <w:r w:rsidRPr="00805901">
              <w:t xml:space="preserve">Round 2: </w:t>
            </w:r>
            <w:r w:rsidR="0075077B">
              <w:rPr>
                <w:color w:val="FF0000"/>
              </w:rPr>
              <w:t>22</w:t>
            </w:r>
            <w:r>
              <w:rPr>
                <w:color w:val="FF0000"/>
              </w:rPr>
              <w:t xml:space="preserve"> May 2020</w:t>
            </w:r>
          </w:p>
          <w:p w:rsidR="00D42C3E" w:rsidRPr="00D42C3E" w:rsidRDefault="0036248E" w:rsidP="0036248E">
            <w:pPr>
              <w:spacing w:line="259" w:lineRule="auto"/>
            </w:pPr>
            <w:r w:rsidRPr="00805901">
              <w:t xml:space="preserve">Round 3: </w:t>
            </w:r>
            <w:r w:rsidR="0075077B">
              <w:rPr>
                <w:color w:val="FF0000"/>
              </w:rPr>
              <w:t>2</w:t>
            </w:r>
            <w:r>
              <w:rPr>
                <w:color w:val="FF0000"/>
              </w:rPr>
              <w:t>1 August 2020</w:t>
            </w:r>
          </w:p>
        </w:tc>
      </w:tr>
      <w:tr w:rsidR="00230C10" w:rsidTr="00004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230C10" w:rsidRPr="00230C10" w:rsidRDefault="00230C10" w:rsidP="00004966">
            <w:pPr>
              <w:spacing w:line="259" w:lineRule="auto"/>
            </w:pPr>
            <w:r w:rsidRPr="00230C10">
              <w:t>CONTACTS FOR CALL QUERIES</w:t>
            </w:r>
          </w:p>
        </w:tc>
      </w:tr>
      <w:tr w:rsidR="00230C10" w:rsidTr="00004966">
        <w:tc>
          <w:tcPr>
            <w:cnfStyle w:val="001000000000" w:firstRow="0" w:lastRow="0" w:firstColumn="1" w:lastColumn="0" w:oddVBand="0" w:evenVBand="0" w:oddHBand="0" w:evenHBand="0" w:firstRowFirstColumn="0" w:firstRowLastColumn="0" w:lastRowFirstColumn="0" w:lastRowLastColumn="0"/>
            <w:tcW w:w="116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230C10" w:rsidRPr="00230C10" w:rsidRDefault="00230C10" w:rsidP="00230C10">
            <w:pPr>
              <w:spacing w:line="259" w:lineRule="auto"/>
              <w:rPr>
                <w:b w:val="0"/>
              </w:rPr>
            </w:pPr>
          </w:p>
          <w:p w:rsidR="0036248E" w:rsidRDefault="0036248E" w:rsidP="00230C10">
            <w:pPr>
              <w:spacing w:line="259" w:lineRule="auto"/>
              <w:rPr>
                <w:b w:val="0"/>
              </w:rPr>
            </w:pPr>
            <w:r>
              <w:t>Faculty Contact person</w:t>
            </w:r>
          </w:p>
          <w:p w:rsidR="00230C10" w:rsidRPr="00230C10" w:rsidRDefault="0036248E" w:rsidP="00230C10">
            <w:pPr>
              <w:spacing w:line="259" w:lineRule="auto"/>
              <w:rPr>
                <w:b w:val="0"/>
              </w:rPr>
            </w:pPr>
            <w:r>
              <w:rPr>
                <w:b w:val="0"/>
              </w:rPr>
              <w:t xml:space="preserve">Natasha </w:t>
            </w:r>
            <w:proofErr w:type="spellStart"/>
            <w:r>
              <w:rPr>
                <w:b w:val="0"/>
              </w:rPr>
              <w:t>Jeftha</w:t>
            </w:r>
            <w:proofErr w:type="spellEnd"/>
            <w:r>
              <w:rPr>
                <w:b w:val="0"/>
              </w:rPr>
              <w:t>:</w:t>
            </w:r>
            <w:r w:rsidR="00230C10" w:rsidRPr="00230C10">
              <w:rPr>
                <w:b w:val="0"/>
              </w:rPr>
              <w:t xml:space="preserve"> R4-15 HW </w:t>
            </w:r>
            <w:proofErr w:type="spellStart"/>
            <w:r w:rsidR="00230C10" w:rsidRPr="00230C10">
              <w:rPr>
                <w:b w:val="0"/>
              </w:rPr>
              <w:t>Snyman</w:t>
            </w:r>
            <w:proofErr w:type="spellEnd"/>
            <w:r w:rsidR="00230C10" w:rsidRPr="00230C10">
              <w:rPr>
                <w:b w:val="0"/>
              </w:rPr>
              <w:t xml:space="preserve"> North, </w:t>
            </w:r>
            <w:proofErr w:type="spellStart"/>
            <w:r w:rsidR="00230C10" w:rsidRPr="00230C10">
              <w:rPr>
                <w:b w:val="0"/>
              </w:rPr>
              <w:t>Prinshof</w:t>
            </w:r>
            <w:proofErr w:type="spellEnd"/>
            <w:r w:rsidR="00230C10" w:rsidRPr="00230C10">
              <w:rPr>
                <w:b w:val="0"/>
              </w:rPr>
              <w:t xml:space="preserve"> Campus, 012 319 2378, </w:t>
            </w:r>
            <w:hyperlink r:id="rId7" w:tgtFrame="_blank" w:history="1">
              <w:r w:rsidR="00230C10" w:rsidRPr="00230C10">
                <w:rPr>
                  <w:rStyle w:val="Hyperlink"/>
                  <w:b w:val="0"/>
                  <w:bCs w:val="0"/>
                </w:rPr>
                <w:t>Natasha.jeftha@up.ac.za</w:t>
              </w:r>
            </w:hyperlink>
            <w:r w:rsidR="00230C10" w:rsidRPr="00230C10">
              <w:rPr>
                <w:b w:val="0"/>
              </w:rPr>
              <w:t xml:space="preserve"> </w:t>
            </w:r>
          </w:p>
          <w:p w:rsidR="00230C10" w:rsidRPr="00230C10" w:rsidRDefault="00230C10" w:rsidP="0036248E">
            <w:pPr>
              <w:spacing w:line="259" w:lineRule="auto"/>
              <w:rPr>
                <w:b w:val="0"/>
                <w:bCs w:val="0"/>
              </w:rPr>
            </w:pPr>
          </w:p>
        </w:tc>
      </w:tr>
    </w:tbl>
    <w:p w:rsidR="007511F4" w:rsidRDefault="007511F4"/>
    <w:sectPr w:rsidR="0075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96152"/>
    <w:multiLevelType w:val="hybridMultilevel"/>
    <w:tmpl w:val="BA700E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437E00A4"/>
    <w:multiLevelType w:val="hybridMultilevel"/>
    <w:tmpl w:val="E8A0C9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8831A85"/>
    <w:multiLevelType w:val="hybridMultilevel"/>
    <w:tmpl w:val="2640C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4A24C56"/>
    <w:multiLevelType w:val="hybridMultilevel"/>
    <w:tmpl w:val="9A228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AF84053"/>
    <w:multiLevelType w:val="hybridMultilevel"/>
    <w:tmpl w:val="F0A47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E"/>
    <w:rsid w:val="00004966"/>
    <w:rsid w:val="001C13B0"/>
    <w:rsid w:val="00230C10"/>
    <w:rsid w:val="00235F8A"/>
    <w:rsid w:val="0036248E"/>
    <w:rsid w:val="00363552"/>
    <w:rsid w:val="004E59D9"/>
    <w:rsid w:val="00583ADC"/>
    <w:rsid w:val="005A01A7"/>
    <w:rsid w:val="00675CE4"/>
    <w:rsid w:val="0075077B"/>
    <w:rsid w:val="007511F4"/>
    <w:rsid w:val="007A022B"/>
    <w:rsid w:val="0099178D"/>
    <w:rsid w:val="00AF7313"/>
    <w:rsid w:val="00D42C3E"/>
    <w:rsid w:val="00D72463"/>
    <w:rsid w:val="00E331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AF94"/>
  <w15:chartTrackingRefBased/>
  <w15:docId w15:val="{923B471B-0F5C-4E51-AFCE-6F371634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C3E"/>
    <w:rPr>
      <w:color w:val="0000FF"/>
      <w:u w:val="single"/>
    </w:rPr>
  </w:style>
  <w:style w:type="table" w:styleId="GridTable4-Accent5">
    <w:name w:val="Grid Table 4 Accent 5"/>
    <w:basedOn w:val="TableNormal"/>
    <w:uiPriority w:val="49"/>
    <w:rsid w:val="00D42C3E"/>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4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7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ha.jeftha@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u12041272</dc:creator>
  <cp:keywords/>
  <dc:description/>
  <cp:lastModifiedBy>Miss. MT Lebelo</cp:lastModifiedBy>
  <cp:revision>3</cp:revision>
  <dcterms:created xsi:type="dcterms:W3CDTF">2020-03-19T13:16:00Z</dcterms:created>
  <dcterms:modified xsi:type="dcterms:W3CDTF">2020-03-19T13:43:00Z</dcterms:modified>
</cp:coreProperties>
</file>